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E293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349F074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69A5DD2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B0E064C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414769D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017392E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F972DF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DB8DB0E" w14:textId="77777777" w:rsidR="00D10367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LAS FUSIONES</w:t>
      </w:r>
    </w:p>
    <w:p w14:paraId="37B8A6A4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ESCISIONES Y TRANSFORMACIONES</w:t>
      </w:r>
    </w:p>
    <w:p w14:paraId="41DDB37A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13B1740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2F7DA7B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79854745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90C10D1" w14:textId="77777777" w:rsidR="001749A7" w:rsidRDefault="004A501F" w:rsidP="004A501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EEDD7F3" w14:textId="77777777" w:rsidR="004A501F" w:rsidRDefault="004A501F" w:rsidP="004A501F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5825DB1" w14:textId="77777777" w:rsidR="001749A7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5513608" w14:textId="77777777" w:rsidR="004A501F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7928595" w14:textId="77777777" w:rsidR="004A501F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B1B7335" w14:textId="77777777" w:rsidR="004A501F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71F7612" w14:textId="77777777" w:rsidR="001749A7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D0164C2" w14:textId="77777777" w:rsidR="004A501F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983469C" w14:textId="77777777" w:rsidR="001749A7" w:rsidRDefault="004A501F" w:rsidP="004A50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C38AA3C" w14:textId="77777777" w:rsidR="001749A7" w:rsidRDefault="004A501F" w:rsidP="004A501F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4E7984A" w14:textId="77777777" w:rsidR="004A501F" w:rsidRDefault="004A501F" w:rsidP="004A501F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33CA1637" w14:textId="77777777" w:rsidR="004A501F" w:rsidRDefault="004A501F" w:rsidP="004A501F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AC312D2" w14:textId="77777777" w:rsidR="004A501F" w:rsidRDefault="004A501F" w:rsidP="004A501F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8B5F022" w14:textId="77777777" w:rsidR="004A501F" w:rsidRDefault="004A501F" w:rsidP="004A50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56CA2D21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5323098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17EF663" w14:textId="77777777" w:rsidR="004A501F" w:rsidRPr="001749A7" w:rsidRDefault="00632B46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Personalidad </w:t>
      </w: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completa (Historial de todas las protocolizaciones que hayan tenido las sociedades y títulos accionarios)</w:t>
      </w:r>
    </w:p>
    <w:p w14:paraId="4EBEEC29" w14:textId="77777777" w:rsidR="004A501F" w:rsidRPr="001749A7" w:rsidRDefault="004A501F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bjeto social predominante</w:t>
      </w:r>
    </w:p>
    <w:p w14:paraId="0D76C394" w14:textId="77777777" w:rsidR="004A501F" w:rsidRPr="001749A7" w:rsidRDefault="004A501F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AC5B6D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uadro accionario de la sociedad que subsistirá</w:t>
      </w:r>
    </w:p>
    <w:p w14:paraId="2039C0B6" w14:textId="77777777" w:rsidR="004A501F" w:rsidRPr="001749A7" w:rsidRDefault="004A501F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B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alances financieros</w:t>
      </w:r>
    </w:p>
    <w:p w14:paraId="62A2C594" w14:textId="77777777" w:rsidR="004A501F" w:rsidRPr="001749A7" w:rsidRDefault="004A501F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 a protocolizar</w:t>
      </w:r>
    </w:p>
    <w:p w14:paraId="1982B933" w14:textId="77777777" w:rsidR="004A501F" w:rsidRPr="001749A7" w:rsidRDefault="00632B46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4707ABB9" w14:textId="77777777" w:rsidR="004A501F" w:rsidRPr="001749A7" w:rsidRDefault="00632B46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A501F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C53BC04" w14:textId="77777777" w:rsidR="004A501F" w:rsidRPr="001749A7" w:rsidRDefault="00632B46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4A501F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todos los participantes en la sociedad (socios, administrador(es), comisario, delegado y apoderados)</w:t>
      </w:r>
    </w:p>
    <w:p w14:paraId="036096D6" w14:textId="77777777" w:rsidR="00E800B8" w:rsidRDefault="004A501F" w:rsidP="00AC5B6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Comprobante de domicilio</w:t>
      </w:r>
    </w:p>
    <w:p w14:paraId="2B8737C1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D72C0CD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19C8599" w14:textId="77777777" w:rsidR="006D1DC9" w:rsidRPr="00D318C2" w:rsidRDefault="006D1DC9" w:rsidP="00924FF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28739">
    <w:abstractNumId w:val="3"/>
  </w:num>
  <w:num w:numId="2" w16cid:durableId="831482513">
    <w:abstractNumId w:val="4"/>
  </w:num>
  <w:num w:numId="3" w16cid:durableId="317618300">
    <w:abstractNumId w:val="1"/>
  </w:num>
  <w:num w:numId="4" w16cid:durableId="67505300">
    <w:abstractNumId w:val="0"/>
  </w:num>
  <w:num w:numId="5" w16cid:durableId="462963759">
    <w:abstractNumId w:val="6"/>
  </w:num>
  <w:num w:numId="6" w16cid:durableId="1939437785">
    <w:abstractNumId w:val="7"/>
  </w:num>
  <w:num w:numId="7" w16cid:durableId="661743369">
    <w:abstractNumId w:val="2"/>
  </w:num>
  <w:num w:numId="8" w16cid:durableId="7550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24FFF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BE3FBA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7888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2022-09-05T22:12:00Z</dcterms:modified>
</cp:coreProperties>
</file>